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05"/>
        <w:gridCol w:w="289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南京艺术学院2020年度优秀学生教学信息员名单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所属专业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常莹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蒋知霖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王婷婷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杨晨希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设计学院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杨娴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设计学院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周泊颖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设计学院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姜璐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舞蹈学院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李睿璐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贾倩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张璐颖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陈婧婷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流行音乐学院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作曲与作曲技术理论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史明瑞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文物保护与修复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13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仇异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  <w:t>工业设计学院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14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张天瑜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  <w:t>工业设计学院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15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钱堃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  <w:t>高等职业教育学院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16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瞿睿静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  <w:t>高等职业教育学院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数字媒体艺术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8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05"/>
        <w:gridCol w:w="289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南京艺术学院2020年度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在线教学质量监测先进个人名单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所属专业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蒋知霖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杨晨希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设计学院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周泊颖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设计学院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姜璐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舞蹈学院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李睿璐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张璐颖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史明瑞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文物保护与修复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仇异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  <w:t>工业设计学院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张天瑜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  <w:t>工业设计学院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钱堃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  <w:t>高等职业教育学院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瞿睿静</w:t>
            </w:r>
          </w:p>
        </w:tc>
        <w:tc>
          <w:tcPr>
            <w:tcW w:w="2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40"/>
                <w:vertAlign w:val="baseline"/>
                <w:lang w:val="en-US" w:eastAsia="zh-CN" w:bidi="ar-SA"/>
              </w:rPr>
              <w:t>高等职业教育学院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数字媒体艺术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D198D"/>
    <w:rsid w:val="01CF68B0"/>
    <w:rsid w:val="0C2A4694"/>
    <w:rsid w:val="1C1D198D"/>
    <w:rsid w:val="1EF75782"/>
    <w:rsid w:val="210C65DC"/>
    <w:rsid w:val="6E95518F"/>
    <w:rsid w:val="7A795939"/>
    <w:rsid w:val="7D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eastAsia="宋体" w:cs="方正小标宋简体" w:asciiTheme="minorAscii" w:hAnsiTheme="minorAscii"/>
      <w:kern w:val="2"/>
      <w:sz w:val="24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2020-11-03T00:48:00Z</dcterms:created>
  <dc:creator>邓亚光</dc:creator>
  <cp:lastModifiedBy>复杂简单</cp:lastModifiedBy>
  <dcterms:modified xsi:type="dcterms:W3CDTF">2021-06-22T01:58:02Z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C446E77ECC184626AB98CEF299A34DB7</vt:lpwstr>
  </property>
</Properties>
</file>